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-4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4218"/>
        <w:gridCol w:w="2976"/>
        <w:gridCol w:w="208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84"/>
        </w:trPr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none" w:color="000000" w:sz="4" w:space="0"/>
            </w:tcBorders>
            <w:tcW w:w="9276" w:type="dxa"/>
            <w:vAlign w:val="top"/>
            <w:textDirection w:val="lrTb"/>
            <w:noWrap w:val="false"/>
          </w:tcPr>
          <w:p>
            <w:pPr>
              <w:pStyle w:val="834"/>
              <w:jc w:val="right"/>
              <w:rPr>
                <w:b/>
                <w:lang w:val="en-US"/>
              </w:rPr>
            </w:pPr>
            <w:r>
              <w:rPr>
                <w:b/>
              </w:rPr>
              <w:t xml:space="preserve">Приложение № </w:t>
            </w:r>
            <w:r>
              <w:rPr>
                <w:b/>
                <w:lang w:val="en-US"/>
              </w:rPr>
              <w:t xml:space="preserve">1</w:t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3"/>
            <w:tcBorders>
              <w:top w:val="single" w:color="000000" w:sz="4" w:space="0"/>
            </w:tcBorders>
            <w:tcW w:w="92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b/>
              </w:rPr>
            </w:pPr>
            <w:r>
              <w:rPr>
                <w:b/>
              </w:rPr>
              <w:t xml:space="preserve">ДОХОДЫ</w:t>
            </w:r>
            <w:r>
              <w:rPr>
                <w:b/>
              </w:rPr>
              <w:t xml:space="preserve"> на 20</w:t>
            </w:r>
            <w:r>
              <w:rPr>
                <w:b/>
              </w:rPr>
              <w:t xml:space="preserve">25</w:t>
            </w:r>
            <w:r>
              <w:rPr>
                <w:b/>
              </w:rPr>
              <w:t xml:space="preserve"> год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b/>
              </w:rPr>
            </w:pPr>
            <w:r>
              <w:rPr>
                <w:b/>
              </w:rPr>
              <w:t xml:space="preserve">Наименование статей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b/>
              </w:rPr>
            </w:pPr>
            <w:r>
              <w:rPr>
                <w:b/>
              </w:rPr>
              <w:t xml:space="preserve">Сумма</w:t>
            </w:r>
            <w:r>
              <w:rPr>
                <w:b/>
              </w:rPr>
              <w:t xml:space="preserve">, руб.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b/>
              </w:rPr>
            </w:pPr>
            <w:r>
              <w:rPr>
                <w:b/>
              </w:rPr>
              <w:t xml:space="preserve">Примечание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  <w:jc w:val="both"/>
            </w:pPr>
            <w:r>
              <w:t xml:space="preserve">    На содержание и </w:t>
            </w:r>
            <w:r>
              <w:t xml:space="preserve">текущий ремонт </w:t>
            </w:r>
            <w:r>
              <w:t xml:space="preserve">жилья</w:t>
            </w:r>
            <w:r>
              <w:t xml:space="preserve">.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  <w:t xml:space="preserve"> </w:t>
            </w:r>
            <w:r>
              <w:t xml:space="preserve">718 0</w:t>
            </w:r>
            <w:r>
              <w:rPr>
                <w:lang w:val="en-US"/>
              </w:rPr>
              <w:t xml:space="preserve">00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834"/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4"/>
        </w:trPr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  <w:jc w:val="right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  <w:t xml:space="preserve"> </w:t>
            </w:r>
            <w:r>
              <w:t xml:space="preserve">718 0</w:t>
            </w:r>
            <w:r>
              <w:rPr>
                <w:lang w:val="en-US"/>
              </w:rPr>
              <w:t xml:space="preserve">00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  <w:r/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3"/>
            <w:tcW w:w="92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b/>
              </w:rPr>
            </w:pPr>
            <w:r>
              <w:rPr>
                <w:b/>
              </w:rPr>
              <w:t xml:space="preserve">РАСХОДЫ</w:t>
            </w:r>
            <w:r>
              <w:rPr>
                <w:b/>
              </w:rPr>
              <w:t xml:space="preserve"> на 20</w:t>
            </w: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5 год</w:t>
            </w:r>
            <w:r>
              <w:rPr>
                <w:b/>
              </w:rPr>
              <w:t xml:space="preserve"> </w:t>
            </w:r>
            <w:r>
              <w:t xml:space="preserve">(необходимые работы)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</w:pPr>
            <w:r>
              <w:t xml:space="preserve">Зарплата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t xml:space="preserve">957 000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  <w:jc w:val="both"/>
            </w:pPr>
            <w:r>
              <w:t xml:space="preserve">Взносы</w:t>
            </w:r>
            <w:r>
              <w:t xml:space="preserve"> </w:t>
            </w:r>
            <w:r>
              <w:t xml:space="preserve">(налоги)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lang w:val="en-US"/>
              </w:rPr>
            </w:pPr>
            <w:r>
              <w:t xml:space="preserve">289</w:t>
            </w:r>
            <w:r>
              <w:rPr>
                <w:lang w:val="en-US"/>
              </w:rPr>
              <w:t xml:space="preserve"> 000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  <w:jc w:val="both"/>
            </w:pPr>
            <w:r>
              <w:t xml:space="preserve">Услуги банка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t xml:space="preserve">1</w:t>
            </w:r>
            <w:r>
              <w:rPr>
                <w:lang w:val="en-US"/>
              </w:rPr>
              <w:t xml:space="preserve">1</w:t>
            </w:r>
            <w:r>
              <w:t xml:space="preserve"> 000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</w:pPr>
            <w:r>
              <w:t xml:space="preserve">Хозяйственные расходы </w:t>
            </w:r>
            <w:r>
              <w:rPr>
                <w:sz w:val="20"/>
                <w:szCs w:val="20"/>
              </w:rPr>
              <w:t xml:space="preserve">(моющие, дезинфициру</w:t>
            </w:r>
            <w:r>
              <w:rPr>
                <w:sz w:val="20"/>
                <w:szCs w:val="20"/>
              </w:rPr>
              <w:t xml:space="preserve">ю</w:t>
            </w:r>
            <w:r>
              <w:rPr>
                <w:sz w:val="20"/>
                <w:szCs w:val="20"/>
              </w:rPr>
              <w:t xml:space="preserve">щие средства</w:t>
            </w:r>
            <w:r>
              <w:rPr>
                <w:sz w:val="20"/>
                <w:szCs w:val="20"/>
              </w:rPr>
              <w:t xml:space="preserve">, канцтовары, бланки, почтовые расходы</w:t>
            </w:r>
            <w:r>
              <w:rPr>
                <w:sz w:val="20"/>
                <w:szCs w:val="20"/>
              </w:rPr>
              <w:t xml:space="preserve">, субботник</w:t>
            </w:r>
            <w:r>
              <w:rPr>
                <w:sz w:val="20"/>
                <w:szCs w:val="20"/>
              </w:rPr>
              <w:t xml:space="preserve">, орг. техника, бумага</w:t>
            </w:r>
            <w:r>
              <w:rPr>
                <w:sz w:val="20"/>
                <w:szCs w:val="20"/>
              </w:rPr>
              <w:t xml:space="preserve">)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t xml:space="preserve">16 000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  <w:jc w:val="both"/>
            </w:pPr>
            <w:r>
              <w:t xml:space="preserve">Уборка территории от снега</w:t>
            </w:r>
            <w:r>
              <w:t xml:space="preserve"> автотранспортом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rPr>
                <w:lang w:val="en-US"/>
              </w:rPr>
              <w:t xml:space="preserve">23</w:t>
            </w:r>
            <w:r>
              <w:t xml:space="preserve"> 000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  <w:jc w:val="both"/>
            </w:pPr>
            <w:r>
              <w:t xml:space="preserve">Выплата штрафов</w:t>
            </w:r>
            <w:r>
              <w:t xml:space="preserve">,</w:t>
            </w:r>
            <w:r>
              <w:t xml:space="preserve"> </w:t>
            </w:r>
            <w:r>
              <w:t xml:space="preserve">пени, неустойки</w:t>
            </w:r>
            <w:r>
              <w:t xml:space="preserve"> и иного ущерба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t xml:space="preserve">5 000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</w:pPr>
            <w:r>
              <w:t xml:space="preserve">Техническое обслуживание газопровода</w:t>
            </w:r>
            <w:r>
              <w:t xml:space="preserve">.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rPr>
                <w:lang w:val="en-US"/>
              </w:rPr>
              <w:t xml:space="preserve">41</w:t>
            </w:r>
            <w:r>
              <w:rPr>
                <w:lang w:val="en-US"/>
              </w:rPr>
              <w:t xml:space="preserve"> 0</w:t>
            </w:r>
            <w:r>
              <w:t xml:space="preserve">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</w:pPr>
            <w:r>
              <w:t xml:space="preserve">О</w:t>
            </w:r>
            <w:r>
              <w:t xml:space="preserve">свидетельствование лифтов</w:t>
            </w:r>
            <w:r>
              <w:t xml:space="preserve">, страхование</w:t>
            </w:r>
            <w:r>
              <w:t xml:space="preserve">.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rPr>
                <w:lang w:val="en-US"/>
              </w:rPr>
              <w:t xml:space="preserve">2</w:t>
            </w:r>
            <w:r>
              <w:t xml:space="preserve">5</w:t>
            </w:r>
            <w:r>
              <w:t xml:space="preserve"> 0</w:t>
            </w:r>
            <w:r>
              <w:t xml:space="preserve">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</w:pPr>
            <w:r>
              <w:t xml:space="preserve">Программное обеспечение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t xml:space="preserve">10 000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</w:pPr>
            <w:r>
              <w:t xml:space="preserve">Обслуживание узла учета.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t xml:space="preserve">20</w:t>
            </w:r>
            <w:r>
              <w:t xml:space="preserve"> 000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/>
        <w:trPr/>
        <w:tc>
          <w:tcPr>
            <w:tcW w:w="4218" w:type="dxa"/>
            <w:vAlign w:val="top"/>
            <w:vMerge w:val="restart"/>
            <w:textDirection w:val="lrTb"/>
            <w:noWrap w:val="false"/>
          </w:tcPr>
          <w:p>
            <w:pPr>
              <w:pStyle w:val="834"/>
            </w:pPr>
            <w:r>
              <w:t xml:space="preserve">Поверка приборов учета тепловой энергии и ГВС</w:t>
            </w:r>
            <w:r/>
          </w:p>
        </w:tc>
        <w:tc>
          <w:tcPr>
            <w:tcW w:w="2976" w:type="dxa"/>
            <w:vAlign w:val="top"/>
            <w:vMerge w:val="restart"/>
            <w:textDirection w:val="lrTb"/>
            <w:noWrap w:val="false"/>
          </w:tcPr>
          <w:p>
            <w:pPr>
              <w:pStyle w:val="834"/>
              <w:jc w:val="center"/>
            </w:pPr>
            <w:r>
              <w:t xml:space="preserve">39 000</w:t>
            </w:r>
            <w:r/>
          </w:p>
        </w:tc>
        <w:tc>
          <w:tcPr>
            <w:tcW w:w="2081" w:type="dxa"/>
            <w:vAlign w:val="top"/>
            <w:vMerge w:val="restart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</w:pPr>
            <w:r>
              <w:t xml:space="preserve">Подготовка дома к зиме </w:t>
            </w:r>
            <w:r>
              <w:rPr>
                <w:sz w:val="20"/>
                <w:szCs w:val="20"/>
              </w:rPr>
              <w:t xml:space="preserve">(сдача теплопунктов, промывка системы,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пуск тепла в дом,</w:t>
            </w:r>
            <w:r>
              <w:rPr>
                <w:sz w:val="20"/>
                <w:szCs w:val="20"/>
              </w:rPr>
              <w:t xml:space="preserve"> проверка вент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каналов, поверка манометров)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t xml:space="preserve">62</w:t>
            </w:r>
            <w:r>
              <w:t xml:space="preserve"> 000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  <w:jc w:val="right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t xml:space="preserve">1 498 000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gridSpan w:val="3"/>
            <w:tcW w:w="92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b/>
              </w:rPr>
            </w:pPr>
            <w:r>
              <w:rPr>
                <w:b/>
              </w:rPr>
              <w:t xml:space="preserve">Планируемые работы</w:t>
            </w:r>
            <w:r>
              <w:rPr>
                <w:b/>
              </w:rPr>
              <w:t xml:space="preserve"> (</w:t>
            </w:r>
            <w:r>
              <w:rPr>
                <w:b/>
              </w:rPr>
              <w:t xml:space="preserve">220 000</w:t>
            </w:r>
            <w:r>
              <w:rPr>
                <w:b/>
              </w:rPr>
              <w:t xml:space="preserve">р.)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</w:pPr>
            <w:r>
              <w:t xml:space="preserve">Стоянка для велосипедов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30 000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r>
              <w:t xml:space="preserve">Монтаж козырька лоджии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r>
              <w:t xml:space="preserve">                  80 000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  <w:jc w:val="both"/>
            </w:pPr>
            <w:r>
              <w:t xml:space="preserve">Ремонт панельных швов дома, крыш балконов.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rPr>
                <w:lang w:val="en-US"/>
              </w:rPr>
              <w:t xml:space="preserve">2</w:t>
            </w:r>
            <w:r>
              <w:t xml:space="preserve">0 000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9"/>
        </w:trPr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</w:pPr>
            <w:r>
              <w:t xml:space="preserve">Установка урны у 4 подъезда </w:t>
            </w:r>
            <w:r>
              <w:t xml:space="preserve"> 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t xml:space="preserve">5</w:t>
            </w:r>
            <w:r>
              <w:t xml:space="preserve"> 000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</w:pPr>
            <w:r>
              <w:t xml:space="preserve">Ограждение автопарковки и газонов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rPr>
                <w:lang w:val="en-US"/>
              </w:rPr>
              <w:t xml:space="preserve">5</w:t>
            </w:r>
            <w:r>
              <w:t xml:space="preserve">0</w:t>
            </w:r>
            <w:r>
              <w:t xml:space="preserve"> 000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</w:pPr>
            <w:r>
              <w:t xml:space="preserve">Расходы текущие </w:t>
            </w:r>
            <w:r>
              <w:rPr>
                <w:sz w:val="20"/>
                <w:szCs w:val="20"/>
              </w:rPr>
              <w:t xml:space="preserve">(прочистка канализации, замена кранов</w:t>
            </w:r>
            <w:r>
              <w:rPr>
                <w:sz w:val="20"/>
                <w:szCs w:val="20"/>
              </w:rPr>
              <w:t xml:space="preserve">-регуляторов</w:t>
            </w:r>
            <w:r>
              <w:rPr>
                <w:sz w:val="20"/>
                <w:szCs w:val="20"/>
              </w:rPr>
              <w:t xml:space="preserve"> и другие сан.тех.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работы)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>
              <w:t xml:space="preserve">80</w:t>
            </w:r>
            <w:r>
              <w:t xml:space="preserve"> 000</w:t>
            </w:r>
            <w:r/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4"/>
        </w:trPr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  <w:jc w:val="both"/>
            </w:pPr>
            <w:r>
              <w:rPr>
                <w:b/>
              </w:rPr>
              <w:t xml:space="preserve">                                            </w:t>
            </w:r>
            <w:r>
              <w:rPr>
                <w:b/>
              </w:rPr>
              <w:t xml:space="preserve">Итого</w:t>
            </w:r>
            <w:r>
              <w:rPr>
                <w:b/>
              </w:rPr>
              <w:t xml:space="preserve">:</w:t>
            </w:r>
            <w:r/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265 000</w:t>
            </w:r>
            <w:r>
              <w:rPr>
                <w:b/>
                <w:lang w:val="en-US"/>
              </w:rPr>
            </w:r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218" w:type="dxa"/>
            <w:vAlign w:val="top"/>
            <w:textDirection w:val="lrTb"/>
            <w:noWrap w:val="false"/>
          </w:tcPr>
          <w:p>
            <w:pPr>
              <w:pStyle w:val="834"/>
              <w:jc w:val="both"/>
              <w:rPr>
                <w:b/>
              </w:rPr>
            </w:pPr>
            <w:r>
              <w:rPr>
                <w:b/>
              </w:rPr>
              <w:t xml:space="preserve">Итого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976" w:type="dxa"/>
            <w:vAlign w:val="top"/>
            <w:textDirection w:val="lrTb"/>
            <w:noWrap w:val="false"/>
          </w:tcPr>
          <w:p>
            <w:pPr>
              <w:pStyle w:val="834"/>
              <w:jc w:val="center"/>
              <w:rPr>
                <w:b/>
              </w:rPr>
            </w:pPr>
            <w:r>
              <w:rPr>
                <w:b/>
              </w:rPr>
              <w:t xml:space="preserve">1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763</w:t>
            </w:r>
            <w:r>
              <w:rPr>
                <w:b/>
              </w:rPr>
              <w:t xml:space="preserve"> 000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2081" w:type="dxa"/>
            <w:vAlign w:val="top"/>
            <w:textDirection w:val="lrTb"/>
            <w:noWrap w:val="false"/>
          </w:tcPr>
          <w:p>
            <w:pPr>
              <w:pStyle w:val="834"/>
              <w:jc w:val="center"/>
            </w:pPr>
            <w:r/>
            <w:r/>
          </w:p>
        </w:tc>
      </w:tr>
    </w:tbl>
    <w:sectPr>
      <w:footnotePr/>
      <w:endnotePr/>
      <w:type w:val="nextPage"/>
      <w:pgSz w:w="11906" w:h="16838" w:orient="portrait"/>
      <w:pgMar w:top="568" w:right="851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4"/>
    <w:next w:val="834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4"/>
    <w:next w:val="834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4"/>
    <w:next w:val="834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4"/>
    <w:next w:val="834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List Paragraph"/>
    <w:basedOn w:val="834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4"/>
    <w:next w:val="834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link w:val="676"/>
    <w:uiPriority w:val="10"/>
    <w:rPr>
      <w:sz w:val="48"/>
      <w:szCs w:val="48"/>
    </w:rPr>
  </w:style>
  <w:style w:type="paragraph" w:styleId="678">
    <w:name w:val="Subtitle"/>
    <w:basedOn w:val="834"/>
    <w:next w:val="834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link w:val="678"/>
    <w:uiPriority w:val="11"/>
    <w:rPr>
      <w:sz w:val="24"/>
      <w:szCs w:val="24"/>
    </w:rPr>
  </w:style>
  <w:style w:type="paragraph" w:styleId="680">
    <w:name w:val="Quote"/>
    <w:basedOn w:val="834"/>
    <w:next w:val="834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4"/>
    <w:next w:val="834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4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link w:val="684"/>
    <w:uiPriority w:val="99"/>
  </w:style>
  <w:style w:type="paragraph" w:styleId="686">
    <w:name w:val="Footer"/>
    <w:basedOn w:val="834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link w:val="686"/>
    <w:uiPriority w:val="99"/>
  </w:style>
  <w:style w:type="paragraph" w:styleId="688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next w:val="834"/>
    <w:link w:val="834"/>
    <w:qFormat/>
    <w:rPr>
      <w:sz w:val="24"/>
      <w:szCs w:val="24"/>
      <w:lang w:val="ru-RU" w:eastAsia="ru-RU" w:bidi="ar-SA"/>
    </w:rPr>
  </w:style>
  <w:style w:type="character" w:styleId="835">
    <w:name w:val="Основной шрифт абзаца"/>
    <w:next w:val="835"/>
    <w:link w:val="834"/>
    <w:semiHidden/>
  </w:style>
  <w:style w:type="table" w:styleId="836">
    <w:name w:val="Обычная таблица"/>
    <w:next w:val="836"/>
    <w:link w:val="834"/>
    <w:semiHidden/>
    <w:tblPr/>
  </w:style>
  <w:style w:type="numbering" w:styleId="837">
    <w:name w:val="Нет списка"/>
    <w:next w:val="837"/>
    <w:link w:val="834"/>
    <w:semiHidden/>
  </w:style>
  <w:style w:type="table" w:styleId="838">
    <w:name w:val="Сетка таблицы"/>
    <w:basedOn w:val="836"/>
    <w:next w:val="838"/>
    <w:link w:val="834"/>
    <w:tblPr/>
  </w:style>
  <w:style w:type="paragraph" w:styleId="839">
    <w:name w:val="Текст выноски"/>
    <w:basedOn w:val="834"/>
    <w:next w:val="839"/>
    <w:link w:val="834"/>
    <w:semiHidden/>
    <w:rPr>
      <w:rFonts w:ascii="Tahoma" w:hAnsi="Tahoma" w:cs="Tahoma"/>
      <w:sz w:val="16"/>
      <w:szCs w:val="16"/>
    </w:rPr>
  </w:style>
  <w:style w:type="paragraph" w:styleId="840">
    <w:name w:val="Абзац списка"/>
    <w:basedOn w:val="834"/>
    <w:next w:val="840"/>
    <w:link w:val="834"/>
    <w:uiPriority w:val="34"/>
    <w:qFormat/>
    <w:pPr>
      <w:ind w:left="708"/>
    </w:pPr>
  </w:style>
  <w:style w:type="character" w:styleId="841" w:default="1">
    <w:name w:val="Default Paragraph Font"/>
    <w:uiPriority w:val="1"/>
    <w:semiHidden/>
    <w:unhideWhenUsed/>
  </w:style>
  <w:style w:type="numbering" w:styleId="842" w:default="1">
    <w:name w:val="No List"/>
    <w:uiPriority w:val="99"/>
    <w:semiHidden/>
    <w:unhideWhenUsed/>
  </w:style>
  <w:style w:type="table" w:styleId="84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Р7-Офис/2024.3.2.551</Application>
  <Company>tcj_3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ДОХОДЫ</dc:title>
  <dc:creator>user</dc:creator>
  <cp:revision>16</cp:revision>
  <dcterms:created xsi:type="dcterms:W3CDTF">2023-04-28T05:35:00Z</dcterms:created>
  <dcterms:modified xsi:type="dcterms:W3CDTF">2025-05-23T03:49:12Z</dcterms:modified>
  <cp:version>983040</cp:version>
</cp:coreProperties>
</file>